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"____"___________2020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по результатам внешней проверки годовой бюджетной отчетности  Отдела культуры администрации города Канска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за 2019 год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распорядитель бюджетных средств (далее – ГРБС) – Отдел культуры администрации города Канска (далее – Отдел культуры).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2019год.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2019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Отдела культуры администрации города Канска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за 2019 год представлена в финансовое управление администрации города Канска 24.01.2020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культуры администрации города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за 2019 год представлена в Контрольно-счетную комиссию города Канска в срок, указанный в сопроводительном письме о предоставлении документов от 17.02.2020 №16/01-18 (сопроводительное письмо </w:t>
      </w:r>
      <w:r>
        <w:rPr>
          <w:rFonts w:eastAsia="Times New Roman"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Отдела культуры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от 20.02.2020  № 34).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бюджетного учета в 2019 году осуществлялось МКУ "МЦО" на основании договора на бухгалтерское обслуживание.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4. Согласно Сведений об исполнении судебных решений по денежным обязательствам бюджета (ф.0503295) в 2019 году было оплачено по исполнительным листам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Отделом культуры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за счет средств городского бюджета, на общую сумму </w:t>
      </w:r>
      <w:bookmarkStart w:id="0" w:name="__DdeLink__747_3266386014"/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120 711,71</w:t>
      </w:r>
      <w:bookmarkEnd w:id="0"/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рублей,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в том числе по заработной плате (бюджетные учреждения):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65 129,02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 МБУ «ГДК г. Канска»;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- 18 354,82 рубля МБУ «ЦБС»;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- 37 227,87 рублей МБУ «ДШИ №1».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Оплата расходов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Решением Канского городского Совета депутатов от 19.12.2018                    № 35-212 "О бюджете города Канска на 2019 год и плановый период 2020 – 2021 годов" Отделу культуры администрации города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104 331 657,00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рублей.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36 408 889,00 рублей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. Согласно уточненной бюджетной росписи план ассигнований на конец 2019 года составил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140 740 546,00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рублей.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2019 год  составило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140 313 121,28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рубль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99,7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spacing w:before="0" w:after="0"/>
        <w:ind w:left="0" w:right="0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На конец года неисполненные плановые ассигнования составили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427 424,72 рубля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- 112 424,72 рубля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субсидии бюджетным учреждениям на финансовое обеспечение муниципального задания не исполнены в части расходов за услуги связи, коммунальные услуги оказанные в декабре 2019 года, оплата будет произведена в 2020 году;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- 315 000,00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субсидии бюджетным учреждениям на иные цели «Расходы на обустройство и восстановление воинских захоронений» неисполнены, в связи с запретом службы по государственной охране объектов культурного наследия Красноярского края на выполнение работ по благоустройству захоронений, являющихся памятниками культурного наследия регионального значения без разработки ПСД (с положительным заключением историко-культурной экспертизы).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культуры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администрации города Канска за 2019 год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201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По состоянию на 01.01.20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года согласно Сведениям о количестве подведомственных участников бюджетного процесса, учреждений                                   и государственных (муниципальных) унитарных предприятий (ф. 0503161)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культуры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как главному распорядителю бюджетных средств, подведомственно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6 учреждений.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Проверкой бюджетной отчетности учреждений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установлено, что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состав и формы бюджетной отчетности учреждений в полной мере соответствуют составу и формам отчетов, предусмотренным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, утвержденной приказом Министерства финансов Российской Федерации от 25.03.2011 № 33н (далее – Инструкция № 33н).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Проводится ежегодная инвентаризация материальных ценностей и текущая инвентаризация при передаче имущества от одного материально-ответственного лица к другому. По результатам проведенных в 2019 году инвентаризацией казенных и бюджетных учреждений недостач и излишков не выявлено.    </w:t>
      </w:r>
    </w:p>
    <w:p>
      <w:pPr>
        <w:pStyle w:val="ListParagraph"/>
        <w:shd w:val="clear" w:color="auto" w:fill="FFFFFF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Дебиторская задолженность на 01.01.2020 год у Отдела культуры 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2 916,35 рублей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0,00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- 2 916,35 рублей оплачен больничный лист в 2019 году, возмещение с ФСС будет произведено в 2020 году.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bookmarkStart w:id="1" w:name="__DdeLink__1139_249500975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2 916,35 рублей.</w:t>
      </w:r>
      <w:bookmarkEnd w:id="1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01.01.2020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На 01.01.2020 года у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</w:rPr>
        <w:t xml:space="preserve">Отдела культуры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кредиторская задолженность составила в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сумме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2 342,34 рублей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01.01.2019 — 1 141 587,93 рублей) за счет расчетов с контрагентами по услугам связи. Услуги были предоставлены и начислены в декабре 2019 года, оплата будет произведена в январе 2020 года. </w:t>
      </w:r>
    </w:p>
    <w:p>
      <w:pPr>
        <w:pStyle w:val="Normal"/>
        <w:spacing w:lineRule="auto" w:line="240" w:before="0" w:after="29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1 139 245,59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кредиторской задолженности на 01.01.2020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на 01.01.2020 год у подведомственных учреждений составила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165 143,09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101 974,10 рубля)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- 53 716,06 рублей за счет авансов по услугам;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- 28 079,30 рублей авансы на подписку;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- 83 347,73 рублей авансовые платежи по налогу на прибыль за 2019 год.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bookmarkStart w:id="2" w:name="__DdeLink__1139_2495009752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63 168,99 рублей.</w:t>
      </w:r>
      <w:bookmarkEnd w:id="2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color w:val="auto"/>
          <w:sz w:val="28"/>
          <w:szCs w:val="28"/>
        </w:rPr>
        <w:t xml:space="preserve">Кредиторская задолженность на 01.01.2020 года составила </w:t>
      </w: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>90 665,42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(на 01.01.2019 — 61 022,94 рубля). Сложилась за счет начисленных услуг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за обучению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за декабрь 2019 года.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задолженность на 29 642,48 рубля.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Просроченной кредиторской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Дебиторская задолженность по субсидиям на выполнение государственного задания на 01.01.2020 год у подведомственных учреждений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400 077,78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1 402 333,12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- 272 578,90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предоплата за коммунальные услуги, подписка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- 32 879,46,00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оплачены больничные листы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в декабре 2019 года, возмещение с ФСС будет произведено в январе 2020 года.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bookmarkStart w:id="3" w:name="__DdeLink__1139_2495009752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1 002 255,34 рублей.</w:t>
      </w:r>
      <w:bookmarkEnd w:id="3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Кредиторская задолженность по субсидиям на выполнение государственного задания на 01.01.2020 года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715 179,37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01.01.2019 — 1 140 933,26 рубля).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Данная задолженность образовалась по расчетам с поставщиками за счет начислений в декабре 2019 года по услугам связи, коммунальных услуг и услуг прочего характера. Оплата будет произведена в январе 2020 года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425 753,89 рубля.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кредиторской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Дебиторская и кредиторская задолженность по субсидиям на иные цели в 2019 году отсутствует.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Выводы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3.  В нарушение принципа эффективности расходования бюджетных средств произведены расходы на оплату расходов по исполнительным листам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по бюджетным учреждениям в сумме 120 711,71 рублей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что является                                          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1. Отделу культуры осуществлять контроль за дебиторской и кредиторской задолженностью.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Направить заключение о результатах внешней проверки бюджетной отчетности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культуры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  <w:bookmarkStart w:id="4" w:name="OLE_LINK4"/>
      <w:bookmarkStart w:id="5" w:name="OLE_LINK3"/>
      <w:bookmarkStart w:id="6" w:name="OLE_LINK4"/>
      <w:bookmarkStart w:id="7" w:name="OLE_LINK3"/>
      <w:bookmarkEnd w:id="6"/>
      <w:bookmarkEnd w:id="7"/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9746214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 администрации города Канска от 31.12.2019 № 132о/д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336412"/>
    <w:pPr>
      <w:widowControl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892-FF58-4106-BB52-BAC674EB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Application>LibreOffice/6.3.3.2$Windows_x86 LibreOffice_project/a64200df03143b798afd1ec74a12ab50359878ed</Application>
  <Pages>5</Pages>
  <Words>1212</Words>
  <Characters>8136</Characters>
  <CharactersWithSpaces>9615</CharactersWithSpaces>
  <Paragraphs>73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2018-03-20T09:23:00Z</dcterms:created>
  <dc:creator>sk</dc:creator>
  <dc:description/>
  <dc:language>ru-RU</dc:language>
  <cp:lastModifiedBy/>
  <cp:lastPrinted>2020-03-25T16:39:01Z</cp:lastPrinted>
  <dcterms:modified xsi:type="dcterms:W3CDTF">2020-03-26T13:54:42Z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