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«____»______________2022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Управления образования администрации города Канска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пункта 4 ст.44 Положения о бюджетном процессе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hAnsi="Times New Roman"/>
          <w:sz w:val="28"/>
          <w:szCs w:val="28"/>
        </w:rPr>
        <w:t xml:space="preserve"> городе Канске, пункт 1.2 плана работы Контрольно-счетной комиссии города Канска на 2022 год.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городского бюджета, главный распорядитель бюджетных средств</w:t>
      </w:r>
      <w:r>
        <w:rPr>
          <w:rFonts w:ascii="Times New Roman" w:hAnsi="Times New Roman"/>
          <w:sz w:val="28"/>
          <w:szCs w:val="28"/>
        </w:rPr>
        <w:t xml:space="preserve">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и соответствием нормативным требованиям составления и представления бюджетной отчетности проводимый на основе информации содержащейся                          в бюджетной отчетности.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2021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2021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309_784672862"/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bookmarkEnd w:id="0"/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2021 год представлена в финансовое управление администрации города Канска 25.01.2022 года, что соответствует срокам ее предоставления, установленным финансовым управлением администрации города  Канска.</w:t>
      </w:r>
      <w:bookmarkStart w:id="1" w:name="__DdeLink__524_372048155"/>
      <w:bookmarkEnd w:id="1"/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bookmarkStart w:id="2" w:name="__DdeLink__314_82607816"/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bookmarkEnd w:id="2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за 2021 год представлена в Контрольно-счетную комиссию города Канска в срок, в соответствии с Решением Канского городского Совета депутатов Красноярского края от 20.02.2008 № 41-409 «О Положении о бюджетном процессе в городе Канске».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бухгалтерского учета и составление бухгалтерской отчетности осуществлялось в отчетном периоде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муниципальным казенным учреждением «Централизованная бухгалтерия по учету в сфере образования», возглавляемая директором.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Решением Канского городского Совета депутатов от 23.12.2020                               № 4-24 «О бюджете города Канска на 2021 год и плановый период 2022 – 2023 годов,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Управление образования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отражено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Управления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роводится ежегодная инвентаризация материальных ценностей, Управлением образования создана постоянно действующая комиссия, которой была проведена инвентаризация. По результатам проведенных в 2021 году инвентаризаций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подведомственных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учреждений на основании Приказа от 31.08.2021 № 89/1-АХД и Приказа от 31.08.2021 № 64-О «О проведении инвентаризации» недостач и хищений не обнаружено.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2021 год: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0503167, 0503174, 0503172, 0503190, 0503193, 0503191, 0503192, 0503184, 0503230,  таблица1, 6;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бюджетные учреждения 0503767, 0503771, 0503772, 0503790, 0503830, таблица 1, 6.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Согласно Сведений об исполнении судебных решений по денежным обязательствам бюджета ф. 0503295 в 2021 году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Управление образования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счет средств городского бюджета было оплачено по судебным решениям и  исполнительным листам, на 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бюджетных учреждений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общую сумму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925 427,81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 в том числе: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402 755,67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рублей  по судебным решениям и  исполнительным листам;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- 485 000,00 рублей штрафные санкции;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- 37 672,14 рубля пени за несвоевременную оплату взносов на капитальный ремонт.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Сведений об исполнении судебных решений по денежным обязательствам бюджета ф. 0503296 в 2021 году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Управление образования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счет средств городского бюджета было оплачено по судебным решениям и  исполнительным листам в результате деятельности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казенных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 учреждений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общую сумму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2 000,00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рублей.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Оплата расходов по штрафам и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 Управлению образования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521 103 559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,00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</w:rPr>
        <w:t>рублей (в том числе 87 620 832,00 рубля казенные учреждения, 1 433 482 727,00 рублей бюджетные учреждения).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117 162 279,17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рублей.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уточненной бюджетной росписи план ассигнований на конец 2021 года составил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1 638 265 838,17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 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72 625 337,32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казенные учреждения,                   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1 565 640 500,85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627 299 318,81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рублей </w:t>
      </w:r>
      <w:bookmarkStart w:id="3" w:name="__DdeLink__1051_76018679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71 807 426,74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1 555 491 892,07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рубля бюджетные учреждения)</w:t>
      </w:r>
      <w:bookmarkEnd w:id="3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99,33 %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10 966 519,36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рублей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8"/>
          <w:szCs w:val="28"/>
        </w:rPr>
        <w:t xml:space="preserve">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817 910,58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рублей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10 148 608,78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 2021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Анализ дебиторской и кредиторской задолженности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Управления образования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832 858,20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01.01.2021 — 134,63 рубля) в том числе: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4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</w:t>
      </w:r>
      <w:bookmarkEnd w:id="4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377,00 рублей начислена задолженность бюджетного учреждения по возврату субсидии на муниципальное задание;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- 828 287,52 рублей начислена задолженность бюджетного учреждения по возврату субсидии на иные цели;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- 3 423,10 рубля начислена для возврата в бюджет дебиторская задолженность по услугам связи не предполагаемая к исполнению пор контракту;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- 27,00 рублей переплата налога на прибыль;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- 743,58 рубля переплата по страховым взносам ФФОМС.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Просроченная дебиторская задолженность на 01.01.2022 года по данным формы 0503169 в сумме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3 423,10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рубля.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22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составила </w:t>
      </w:r>
      <w:r>
        <w:rPr>
          <w:rFonts w:cs="" w:ascii="Times New Roman" w:hAnsi="Times New Roman" w:cstheme="minorBidi"/>
          <w:b/>
          <w:bCs/>
          <w:i w:val="false"/>
          <w:iCs w:val="false"/>
          <w:sz w:val="28"/>
          <w:szCs w:val="28"/>
          <w:lang w:eastAsia="ru-RU"/>
        </w:rPr>
        <w:t>49 348,62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рублей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01.01.2021 — </w:t>
      </w:r>
      <w:r>
        <w:rPr>
          <w:rFonts w:eastAsia="Calibri" w:cs="" w:ascii="Times New Roman" w:hAnsi="Times New Roman" w:cstheme="minorBid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60 881,45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рубль) в том числе: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- 16 173,71 рубля услуги связи;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- 33 090,91 рублей коммунальные услуги;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- 84,00 рубля аренда оборудования.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bookmarkStart w:id="5" w:name="__DdeLink__1410_2419577902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01.01.2022 года были начислены резервы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предстоящих расходов на оплату отпускных с начислениями фондов</w:t>
      </w:r>
      <w:bookmarkEnd w:id="5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в размере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1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761 031,48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рубль               (ф. 0503121 стр. 560, 0503130 стр. 520, ф. 0503169). Другие резервы в учреждении не формировались.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01.01.2022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01.01.202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подведомственных учреждений составила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3</w:t>
      </w:r>
      <w:bookmarkStart w:id="6" w:name="__DdeLink__1021_2419577902"/>
      <w:bookmarkEnd w:id="6"/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93 259,46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— 378 761,31 рубль) </w:t>
      </w:r>
      <w:bookmarkStart w:id="7" w:name="__DdeLink__760_3500431514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в том числе:</w:t>
      </w:r>
      <w:bookmarkEnd w:id="7"/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209 478,93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ей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задолженность родителей по оплате за содержание детей в ДОУ,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платные услуги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0,84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начислено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возмещение судебных расходов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102 361,27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задолженность родителей по оплате за содержание детей в ДОУ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по решениям суда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31 104,05 рублей недостача ОС в связи с кражей имущества неустановленными лицами;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393,78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недостача МЗ,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исполнительный лист предъявлен к взысканию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35 298,32 рублей переплата по налогу на прибыль;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622,27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переплата пени по налогу на прибыль.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>
          <w:i/>
          <w:i/>
          <w:iCs/>
        </w:rPr>
      </w:pPr>
      <w:bookmarkStart w:id="8" w:name="__DdeLink__1139_24950097521"/>
      <w:bookmarkEnd w:id="8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года по данным формы 05037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5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на 01.01.202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i w:val="false"/>
          <w:iCs w:val="false"/>
          <w:color w:val="auto"/>
          <w:sz w:val="28"/>
          <w:szCs w:val="28"/>
        </w:rPr>
        <w:t xml:space="preserve"> составила                  </w:t>
      </w:r>
      <w:r>
        <w:rPr>
          <w:rFonts w:eastAsia="Calibri" w:cs="" w:ascii="Times New Roman" w:hAnsi="Times New Roman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4 149 711,05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ей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(на 01.01.202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—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2 907 901,08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) </w:t>
      </w:r>
      <w:bookmarkStart w:id="9" w:name="__DdeLink__1004_4130384942"/>
      <w:bookmarkStart w:id="10" w:name="__DdeLink__760_3500431514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в том числе:</w:t>
      </w:r>
      <w:bookmarkEnd w:id="10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4 145 748,84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ей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предоплата за содержание детей в ДОУ,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платные услуги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22,86 рубля услуги связи;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20,00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за аренду оборудования интернет-провайдерам;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- 0,01 рублей пеня по налогу на прибыль, на основании справки о состоянии расчетов на 01.01.2022 года выявлено расхождение между самостоятельно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рассчитанной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суммой пени и предъявленной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налоговой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инспекцией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3 8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19,34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ей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начисленная задолженность перед бюджетом.</w:t>
      </w:r>
      <w:bookmarkEnd w:id="9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01.01.2022 года были начислены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оходы будущих периодов, благотворительные пожертвования в сумме 304 942,57 рубля.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  <w:lang w:eastAsia="ru-RU"/>
        </w:rPr>
        <w:t xml:space="preserve">Просроченной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и долгосрочной 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  <w:lang w:eastAsia="ru-RU"/>
        </w:rPr>
        <w:t>кредиторской задолженности на 01.01.202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8"/>
          <w:szCs w:val="28"/>
          <w:lang w:eastAsia="ru-RU"/>
        </w:rPr>
        <w:t xml:space="preserve">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субсидиям на выполнение государственного (муниципального) задания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01.01.202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319 833,05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245 427,18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рублей) </w:t>
      </w:r>
      <w:bookmarkStart w:id="11" w:name="__DdeLink__760_35004315141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в том числе:</w:t>
      </w:r>
      <w:bookmarkEnd w:id="11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62 132,33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предоплата за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коммунальные услуги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157 700,72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рубл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предоплата за подписку на периодические издания;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года по данным формы 05037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5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Кредиторская задолженность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по субсидиям на выполнение государственного задания на 01.01.202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2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года составила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4 086 647,00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рубл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ей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(на 01.01.202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6 766 183,11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рубля) в том числе: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76 185,51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услуги связи, интернет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4 010 057,29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рубл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коммунальные услуги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27,60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за аренду оборудования интернет-провайдерам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377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,00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начислена задолженность перед бюджетом по возврату субсидии на муниципальное задание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01.01.2022 года были начислены резервы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предстоящих расходов на оплату отпускных с начислениями фондов, и на оплату энергосервисных контрактов в размере 133 936 335,08 рублей.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кредиторской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bookmarkStart w:id="12" w:name="__DdeLink__1228_1493943210"/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Дебиторская задолженность по субсидиям на иные цели в 202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году отсутствует.</w:t>
      </w:r>
      <w:bookmarkEnd w:id="12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по субсидиям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иные цели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на 01.01.202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года составила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8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28 287,52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ей,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начислена задолженность перед бюджетом по возврату субсидии.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кредиторской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eastAsia="Calibri" w:cs="" w:cstheme="minorBidi" w:eastAsiaTheme="minorHAnsi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sz w:val="28"/>
          <w:szCs w:val="28"/>
          <w:lang w:eastAsia="ru-RU"/>
        </w:rPr>
        <w:t>Остаток денежных средств на счетах учреждений на 31.12.2021 года составляет 6 218 178,48 рублей по данным формы 0503779: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4 804 221,09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ь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по приносящей доход деятельности (КФО 2) внебюджетные средства, за оказанные услуги, добровольные пожертвования;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324 401,78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ь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средства во временном распоряжении (КФО 3), будут возвращены после исполнения обязательств по контрактам;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2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158 049,19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по субсидии на выполнение муниципального задания (КФО 4), принятые обязательства по контрактам, срок оплаты по которым  январь 2022 года;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828 287,52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рублей иные субсидии (КФО 5),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возврат субсидии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eastAsia="Calibri" w:cs="" w:cstheme="minorBidi" w:eastAsiaTheme="minorHAnsi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3. В нарушение ст.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</w:t>
      </w:r>
      <w:r>
        <w:rPr>
          <w:rFonts w:cs="Times New Roman" w:ascii="Times New Roman" w:hAnsi="Times New Roman"/>
          <w:sz w:val="28"/>
          <w:szCs w:val="28"/>
        </w:rPr>
        <w:t xml:space="preserve"> сумму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927 472,81</w:t>
      </w:r>
      <w:r>
        <w:rPr>
          <w:rFonts w:cs="Times New Roman" w:ascii="Times New Roman" w:hAnsi="Times New Roman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708"/>
          <w:tab w:val="left" w:pos="1125" w:leader="none"/>
          <w:tab w:val="left" w:pos="133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Управлению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осуществлять контроль и не допускать просроченной дебиторской задолженности.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Управлению образования администрации города Канска.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Е</w:t>
      </w:r>
      <w:hyperlink r:id="rId2">
        <w:r>
          <w:rPr>
            <w:rStyle w:val="Style"/>
            <w:rFonts w:cs="Times New Roman" w:ascii="Times New Roman" w:hAnsi="Times New Roman"/>
            <w:i w:val="false"/>
            <w:iCs w:val="false"/>
            <w:sz w:val="28"/>
            <w:szCs w:val="28"/>
          </w:rPr>
          <w:t>.В. Данилова</w:t>
        </w:r>
      </w:hyperlink>
    </w:p>
    <w:sectPr>
      <w:footerReference w:type="default" r:id="rId3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1554410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7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20.12.2021 № 105 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e1535c"/>
    <w:rPr>
      <w:rFonts w:ascii="Segoe UI" w:hAnsi="Segoe UI" w:cs="Segoe UI"/>
      <w:sz w:val="18"/>
      <w:szCs w:val="18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Times New Roman" w:hAnsi="Times New Roman" w:eastAsia="OpenSymbol" w:cs="OpenSymbol"/>
      <w:b w:val="false"/>
      <w:bCs w:val="false"/>
      <w:sz w:val="28"/>
      <w:szCs w:val="28"/>
    </w:rPr>
  </w:style>
  <w:style w:type="character" w:styleId="Style24">
    <w:name w:val="Интернет-ссылка"/>
    <w:rPr>
      <w:color w:val="000080"/>
      <w:u w:val="single"/>
      <w:lang w:val="zxx" w:eastAsia="zxx" w:bidi="zxx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15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D9CC31641670FD35E1383467AC9CD8FC66D4F83EDCA816115BAE8CDFB8F67D01E5FFA359CB6FF00A901B8D280CBFB2B91A8669649376C505n6D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020E-AA90-4CFB-96CE-EB8C8BB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Application>LibreOffice/6.3.6.2$Windows_x86 LibreOffice_project/2196df99b074d8a661f4036fca8fa0cbfa33a497</Application>
  <Pages>7</Pages>
  <Words>1722</Words>
  <Characters>11377</Characters>
  <CharactersWithSpaces>13451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2017-03-06T03:02:00Z</dcterms:created>
  <dc:creator>sk</dc:creator>
  <dc:description/>
  <dc:language>ru-RU</dc:language>
  <cp:lastModifiedBy/>
  <cp:lastPrinted>2022-03-31T10:37:55Z</cp:lastPrinted>
  <dcterms:modified xsi:type="dcterms:W3CDTF">2022-03-31T13:47:32Z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