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95405" w:rsidRPr="00A95405" w:rsidTr="000A7782">
        <w:tc>
          <w:tcPr>
            <w:tcW w:w="9356" w:type="dxa"/>
            <w:gridSpan w:val="4"/>
          </w:tcPr>
          <w:p w:rsidR="00A95405" w:rsidRPr="00A95405" w:rsidRDefault="00A95405" w:rsidP="00A9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A95405">
              <w:rPr>
                <w:rFonts w:ascii="Times New Roman" w:hAnsi="Times New Roman" w:cs="Times New Roman"/>
                <w:noProof/>
                <w:color w:val="auto"/>
                <w:sz w:val="28"/>
              </w:rPr>
              <w:drawing>
                <wp:inline distT="0" distB="0" distL="0" distR="0" wp14:anchorId="4B21DA1E" wp14:editId="6CB99334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405" w:rsidRPr="00A95405" w:rsidRDefault="00A95405" w:rsidP="00A9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Российская Федерация</w:t>
            </w:r>
          </w:p>
          <w:p w:rsidR="00A95405" w:rsidRPr="00A95405" w:rsidRDefault="00A95405" w:rsidP="00A95405">
            <w:pPr>
              <w:spacing w:after="0" w:line="3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Администрация города Канска</w:t>
            </w: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br/>
              <w:t>Кр</w:t>
            </w:r>
            <w:bookmarkStart w:id="0" w:name="_GoBack"/>
            <w:bookmarkEnd w:id="0"/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асноярского края</w:t>
            </w:r>
          </w:p>
          <w:p w:rsidR="00A95405" w:rsidRPr="00A95405" w:rsidRDefault="00A95405" w:rsidP="00A9540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pacing w:val="40"/>
                <w:sz w:val="40"/>
                <w:lang w:eastAsia="en-US"/>
              </w:rPr>
            </w:pPr>
            <w:r w:rsidRPr="00A95405">
              <w:rPr>
                <w:rFonts w:ascii="Times New Roman" w:hAnsi="Times New Roman" w:cs="Times New Roman"/>
                <w:b/>
                <w:color w:val="auto"/>
                <w:spacing w:val="40"/>
                <w:sz w:val="40"/>
                <w:lang w:eastAsia="en-US"/>
              </w:rPr>
              <w:t>ПОСТАНОВЛЕНИЕ</w:t>
            </w:r>
          </w:p>
          <w:p w:rsidR="00A95405" w:rsidRPr="00A95405" w:rsidRDefault="00A95405" w:rsidP="00A9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95405" w:rsidRPr="00A95405" w:rsidTr="000A778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405" w:rsidRPr="00A95405" w:rsidRDefault="00A95405" w:rsidP="00A95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  <w:t>09.12</w:t>
            </w:r>
          </w:p>
        </w:tc>
        <w:tc>
          <w:tcPr>
            <w:tcW w:w="2607" w:type="dxa"/>
            <w:hideMark/>
          </w:tcPr>
          <w:p w:rsidR="00A95405" w:rsidRPr="00A95405" w:rsidRDefault="00A95405" w:rsidP="00A95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2021</w:t>
            </w:r>
            <w:r w:rsidRPr="00A95405">
              <w:rPr>
                <w:rFonts w:ascii="Times New Roman" w:hAnsi="Times New Roman" w:cs="Times New Roman"/>
                <w:color w:val="auto"/>
                <w:sz w:val="28"/>
                <w:lang w:val="en-US" w:eastAsia="en-US"/>
              </w:rPr>
              <w:t xml:space="preserve"> </w:t>
            </w: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:rsidR="00A95405" w:rsidRPr="00A95405" w:rsidRDefault="00A95405" w:rsidP="00A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5405" w:rsidRPr="00A95405" w:rsidRDefault="00A95405" w:rsidP="00A9540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8"/>
                <w:szCs w:val="24"/>
                <w:lang w:eastAsia="en-US"/>
              </w:rPr>
              <w:t>1027</w:t>
            </w:r>
          </w:p>
        </w:tc>
      </w:tr>
    </w:tbl>
    <w:p w:rsidR="00A95405" w:rsidRP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5405" w:rsidRP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утверждении перечня главных администраторов доходов и перечня главных </w:t>
      </w:r>
      <w:proofErr w:type="gramStart"/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администраторов источников финансирования дефицита бюджета города Канска</w:t>
      </w:r>
      <w:proofErr w:type="gramEnd"/>
    </w:p>
    <w:p w:rsidR="00A95405" w:rsidRPr="00A95405" w:rsidRDefault="00A95405" w:rsidP="00A9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954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В соответствии с пунктом 3.2 статьи</w:t>
      </w:r>
      <w:r w:rsidR="00240E7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160.1, пунктом 4 статьи 160.2 </w:t>
      </w:r>
      <w:r w:rsidRPr="00A954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Бюджетного кодекса Российской Федерации,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постановлениями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статьей 30 Устава города Канска, статьей 24 Решения Канского городского Совета депутатов Красноярского края от 20.02.2008 № 41-409 «О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Положении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бюджетном процессе в городе Канске» ПОСТАНОВЛЯЮ: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Перечень главных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администраторов доходов бюджета города Канска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1.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Утвердить Перечень главных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администраторов источников финансирования дефицита бюджета города Канска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приложению 2.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Установить, что в случаях изменения состава и (или) функций главных администраторов доходов бюджета города Канска, а также изменения принципов назначения и присвоения структуры кодов классификации доходов бюджета до внесения соответствующих изменений в перечень главных администраторов доходов бюджета города Канска закрепление видов (подвидов) доходов бюджета за главными администраторами доходов бюджета города Канска, осуществляется приказами Финансового управления администрации города Канска.</w:t>
      </w:r>
      <w:proofErr w:type="gramEnd"/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Установить, что в случаях изменения состава и (или) функций главных администраторов источников финансирования дефицита бюджета города Канска, а также изменения принципов назначения и присвоения структуры кодов классификации источников финансирования дефицита бюджета города до внесения соответствующих изменений в перечень главных администраторов источников финансирования дефицита бюджета города Канска закрепление группы, подгруппы, статьи и вида источника финансирования дефицита бюджета города за главными администраторами</w:t>
      </w:r>
      <w:proofErr w:type="gramEnd"/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источников финансирования дефицита бюджета города Канска, осуществляется приказами Финансового управления администрации города Канска.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5. Ведущему специалисту Отдела культуры администрации г. Канска (Н.А. Нестерова)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 </w:t>
      </w:r>
      <w:proofErr w:type="gramStart"/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города по экономике и финансам Е.Н. Лифанскую.</w:t>
      </w:r>
    </w:p>
    <w:p w:rsidR="00A95405" w:rsidRPr="00A95405" w:rsidRDefault="00A95405" w:rsidP="00A95405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7. </w:t>
      </w: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бюджета города Канска, начиная</w:t>
      </w:r>
      <w:r w:rsidR="000A77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5405">
        <w:rPr>
          <w:rFonts w:ascii="Times New Roman" w:eastAsia="Times New Roman" w:hAnsi="Times New Roman" w:cs="Times New Roman"/>
          <w:color w:val="auto"/>
          <w:sz w:val="28"/>
          <w:szCs w:val="28"/>
        </w:rPr>
        <w:t>с бюджета на 2022 год и плановый период 2023–2024 годов.</w:t>
      </w:r>
    </w:p>
    <w:p w:rsidR="00A95405" w:rsidRPr="00A95405" w:rsidRDefault="00A95405" w:rsidP="00A9540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5405" w:rsidRP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5405" w:rsidRP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Глава города Канска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А.М. Береснев</w:t>
      </w:r>
    </w:p>
    <w:p w:rsidR="00A95405" w:rsidRDefault="00A95405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A95405" w:rsidRPr="00A95405" w:rsidRDefault="00A95405" w:rsidP="00A954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E0EE4" w:rsidRPr="00B47CB9" w:rsidRDefault="0038146A" w:rsidP="00B95416">
      <w:pPr>
        <w:spacing w:after="6"/>
        <w:ind w:left="6521"/>
        <w:rPr>
          <w:sz w:val="28"/>
          <w:szCs w:val="28"/>
        </w:rPr>
      </w:pPr>
      <w:r w:rsidRPr="00B47CB9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47CB9" w:rsidRDefault="0038146A" w:rsidP="00B95416">
      <w:pPr>
        <w:spacing w:after="0" w:line="255" w:lineRule="auto"/>
        <w:ind w:left="6521" w:right="-766"/>
        <w:rPr>
          <w:rFonts w:ascii="Times New Roman" w:eastAsia="Times New Roman" w:hAnsi="Times New Roman" w:cs="Times New Roman"/>
          <w:sz w:val="28"/>
          <w:szCs w:val="28"/>
        </w:rPr>
      </w:pPr>
      <w:r w:rsidRPr="00B47CB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города Канска</w:t>
      </w:r>
    </w:p>
    <w:p w:rsidR="008E0EE4" w:rsidRDefault="0038146A" w:rsidP="00B95416">
      <w:pPr>
        <w:spacing w:after="0" w:line="255" w:lineRule="auto"/>
        <w:ind w:left="6521" w:right="-766"/>
        <w:rPr>
          <w:rFonts w:ascii="Times New Roman" w:eastAsia="Times New Roman" w:hAnsi="Times New Roman" w:cs="Times New Roman"/>
          <w:sz w:val="28"/>
          <w:szCs w:val="28"/>
        </w:rPr>
      </w:pPr>
      <w:r w:rsidRPr="00B47C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5405">
        <w:rPr>
          <w:rFonts w:ascii="Times New Roman" w:eastAsia="Times New Roman" w:hAnsi="Times New Roman" w:cs="Times New Roman"/>
          <w:sz w:val="28"/>
          <w:szCs w:val="28"/>
        </w:rPr>
        <w:t>09.12.2021</w:t>
      </w:r>
      <w:r w:rsidR="00B4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C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5405">
        <w:rPr>
          <w:rFonts w:ascii="Times New Roman" w:eastAsia="Times New Roman" w:hAnsi="Times New Roman" w:cs="Times New Roman"/>
          <w:sz w:val="28"/>
          <w:szCs w:val="28"/>
        </w:rPr>
        <w:t xml:space="preserve"> 1027</w:t>
      </w:r>
    </w:p>
    <w:p w:rsidR="00B47CB9" w:rsidRPr="00B47CB9" w:rsidRDefault="00B47CB9" w:rsidP="00B47CB9">
      <w:pPr>
        <w:spacing w:after="0" w:line="255" w:lineRule="auto"/>
        <w:ind w:left="8931" w:right="-766"/>
        <w:rPr>
          <w:sz w:val="28"/>
          <w:szCs w:val="28"/>
        </w:rPr>
      </w:pPr>
    </w:p>
    <w:p w:rsidR="008E0EE4" w:rsidRPr="00B47CB9" w:rsidRDefault="0038146A" w:rsidP="00B47CB9">
      <w:pPr>
        <w:spacing w:after="0"/>
        <w:ind w:left="851"/>
        <w:jc w:val="center"/>
        <w:rPr>
          <w:sz w:val="28"/>
          <w:szCs w:val="28"/>
        </w:rPr>
      </w:pPr>
      <w:r w:rsidRPr="00B47CB9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города Канска</w:t>
      </w:r>
    </w:p>
    <w:tbl>
      <w:tblPr>
        <w:tblStyle w:val="TableGrid"/>
        <w:tblW w:w="10774" w:type="dxa"/>
        <w:tblInd w:w="-116" w:type="dxa"/>
        <w:tblLayout w:type="fixed"/>
        <w:tblCellMar>
          <w:top w:w="16" w:type="dxa"/>
          <w:left w:w="26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552"/>
        <w:gridCol w:w="141"/>
        <w:gridCol w:w="6096"/>
      </w:tblGrid>
      <w:tr w:rsidR="008E0EE4" w:rsidRPr="00B47CB9" w:rsidTr="00B95416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spacing w:after="2"/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E0EE4" w:rsidRPr="00B47CB9" w:rsidRDefault="0038146A">
            <w:pPr>
              <w:ind w:left="6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B95416" w:rsidP="00B95416">
            <w:pPr>
              <w:spacing w:line="26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главного администра</w:t>
            </w:r>
          </w:p>
          <w:p w:rsidR="00B95416" w:rsidRDefault="00B95416" w:rsidP="00B95416">
            <w:pPr>
              <w:spacing w:after="2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тора </w:t>
            </w:r>
            <w:r w:rsidR="0038146A"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95416" w:rsidRDefault="00B95416" w:rsidP="00B95416">
            <w:pPr>
              <w:spacing w:after="2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дов </w:t>
            </w:r>
            <w:r w:rsidR="0038146A"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E0EE4" w:rsidRPr="00B47CB9" w:rsidRDefault="0038146A" w:rsidP="00B95416">
            <w:pPr>
              <w:spacing w:after="2"/>
              <w:ind w:left="4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8E0EE4" w:rsidRPr="00B47CB9" w:rsidTr="00B95416"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Счетная палата Красноярского края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E0EE4" w:rsidRPr="00B47CB9" w:rsidTr="00B95416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8E0EE4" w:rsidRPr="00B47CB9" w:rsidTr="00B95416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3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tabs>
                <w:tab w:val="center" w:pos="1404"/>
                <w:tab w:val="center" w:pos="2160"/>
                <w:tab w:val="center" w:pos="2863"/>
                <w:tab w:val="center" w:pos="3229"/>
                <w:tab w:val="center" w:pos="3631"/>
                <w:tab w:val="center" w:pos="4284"/>
                <w:tab w:val="center" w:pos="5012"/>
                <w:tab w:val="center" w:pos="5496"/>
                <w:tab w:val="center" w:pos="6191"/>
                <w:tab w:val="center" w:pos="7319"/>
                <w:tab w:val="right" w:pos="8042"/>
              </w:tabs>
              <w:spacing w:after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тративные</w:t>
            </w:r>
            <w:r w:rsid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штрафы,</w:t>
            </w:r>
            <w:r w:rsid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установленные главой 11 Кодекса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</w:t>
            </w:r>
            <w:r w:rsid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Федерации об административных правонарушениях,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47CB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B47CB9" w:rsidP="00B47CB9">
            <w:pPr>
              <w:ind w:left="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об административных правонарушениях,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лесного хозяйства Красноярского края</w:t>
            </w:r>
          </w:p>
        </w:tc>
      </w:tr>
      <w:tr w:rsidR="008E0EE4" w:rsidRPr="00B47CB9" w:rsidTr="000A7782">
        <w:trPr>
          <w:trHeight w:val="2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</w:tr>
      <w:tr w:rsidR="008E0EE4" w:rsidRPr="00B47CB9" w:rsidTr="00B95416"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A95405">
        <w:trPr>
          <w:trHeight w:val="2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5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2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1 12 01070 01 0000 120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069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8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50159F">
        <w:tblPrEx>
          <w:tblCellMar>
            <w:top w:w="14" w:type="dxa"/>
            <w:right w:w="14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8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C45150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Красноярскому краю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8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8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8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8E0EE4" w:rsidRPr="00B47CB9" w:rsidTr="00B95416">
        <w:tblPrEx>
          <w:tblCellMar>
            <w:top w:w="14" w:type="dxa"/>
            <w:right w:w="14" w:type="dxa"/>
          </w:tblCellMar>
        </w:tblPrEx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финансово-экономического контроля и контроля в сфере закупок Красноярского края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Служба по ветеринарному надзору Красноярского края 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строительного надзора и жилищного контроля Красноярского края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Красноярскому краю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1 01 01012 02 0000 110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spacing w:after="6"/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</w:t>
            </w:r>
            <w:r w:rsidR="00B47CB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spacing w:after="6"/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B47CB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spacing w:after="6"/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</w:t>
            </w:r>
            <w:r w:rsidR="00B47CB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94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участком, расположенным в границах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spacing w:after="6"/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</w:t>
            </w:r>
            <w:r w:rsidR="00B47CB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Красноярскому краю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Главное управление Федеральной службы судебных приставов по Красноярскому краю 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Агентство труда и занятости населения Красноярского края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0A7782">
        <w:tblPrEx>
          <w:tblCellMar>
            <w:top w:w="18" w:type="dxa"/>
            <w:left w:w="0" w:type="dxa"/>
            <w:right w:w="15" w:type="dxa"/>
          </w:tblCellMar>
        </w:tblPrEx>
        <w:trPr>
          <w:trHeight w:val="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Прокуратура Красноярского края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2E4E33">
        <w:tblPrEx>
          <w:tblCellMar>
            <w:top w:w="18" w:type="dxa"/>
            <w:left w:w="0" w:type="dxa"/>
            <w:right w:w="15" w:type="dxa"/>
          </w:tblCellMar>
        </w:tblPrEx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2E4E33" w:rsidRDefault="002E4E33" w:rsidP="002E4E33">
            <w:pPr>
              <w:tabs>
                <w:tab w:val="center" w:pos="551"/>
                <w:tab w:val="center" w:pos="1431"/>
                <w:tab w:val="center" w:pos="2187"/>
                <w:tab w:val="center" w:pos="2889"/>
                <w:tab w:val="center" w:pos="3255"/>
                <w:tab w:val="center" w:pos="3658"/>
                <w:tab w:val="center" w:pos="4310"/>
                <w:tab w:val="center" w:pos="5038"/>
                <w:tab w:val="center" w:pos="5522"/>
                <w:tab w:val="center" w:pos="6217"/>
                <w:tab w:val="center" w:pos="7345"/>
                <w:tab w:val="center" w:pos="8013"/>
              </w:tabs>
              <w:spacing w:after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2E4E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2E4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E4E33" w:rsidRPr="002E4E33" w:rsidTr="0050159F">
        <w:tblPrEx>
          <w:tblCellMar>
            <w:top w:w="18" w:type="dxa"/>
            <w:left w:w="0" w:type="dxa"/>
            <w:right w:w="15" w:type="dxa"/>
          </w:tblCellMar>
        </w:tblPrEx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7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1 16 01123 01 0000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2E4E33" w:rsidRDefault="002E4E33" w:rsidP="002E4E33">
            <w:pPr>
              <w:ind w:left="27" w:right="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2E4E3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2E4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2E4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 w:rsidP="002E4E33">
            <w:pPr>
              <w:ind w:left="89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E4E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47CB9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2E4E33">
            <w:pPr>
              <w:ind w:left="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B47CB9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B47CB9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B9" w:rsidRPr="00EF0FAF" w:rsidRDefault="00EF0FAF" w:rsidP="0020314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A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47CB9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2E4E33">
            <w:pPr>
              <w:ind w:left="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B47CB9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B9" w:rsidRPr="00B47CB9" w:rsidRDefault="00B47CB9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B9" w:rsidRPr="00203148" w:rsidRDefault="00203148" w:rsidP="00B47CB9">
            <w:pPr>
              <w:ind w:left="2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C45150">
              <w:rPr>
                <w:rFonts w:ascii="Times New Roman" w:hAnsi="Times New Roman" w:cs="Times New Roman"/>
                <w:sz w:val="24"/>
                <w:szCs w:val="24"/>
              </w:rPr>
              <w:t>ративные штрафы, установленные г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18" w:type="dxa"/>
            <w:left w:w="0" w:type="dxa"/>
            <w:right w:w="15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17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77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27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B47CB9" w:rsidP="00B47CB9">
            <w:pPr>
              <w:ind w:left="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об административных правонарушениях,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Енисейское управление Федеральной службы по экологическому, технологическому и атомному надзору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Канска Красноярского края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 w:rsidP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города Канска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6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1 11 09080 04 0014 120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рекламных конструкций)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1 11 09080 04 0015 120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  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1 11 09080 04 0018 120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временных сооружений)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(возврат дебиторской задолженности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1 13 02994 04 0050 130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(демонтаж рекламных конструкций)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0EE4" w:rsidRPr="00B47CB9" w:rsidTr="00B95416">
        <w:tblPrEx>
          <w:tblCellMar>
            <w:top w:w="23" w:type="dxa"/>
            <w:right w:w="15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управление администрации города Канска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 w:rsidP="002E4E33">
            <w:pPr>
              <w:ind w:left="62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E4E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1 18 01410 04 0000 150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1 18 01420 04 0000 150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2 02 19999 04 2724 150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2 02 25169 04 0000 150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2 02 25229 04 0000 150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строительство и реконструкцию (модернизацию) объектов питьевого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E0EE4" w:rsidRPr="00B47CB9" w:rsidTr="00B95416">
        <w:tblPrEx>
          <w:tblCellMar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2 02 29900 04 0000 150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из местных бюджетов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2 02 29999 04 1060 150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2 02 29999 04 2138 150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государственную поддержку художественных народных ремесел и декоративно-прикладного искусства)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2 02 29999 04 2650 150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2 02 29999 04 2654 150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2 02 29999 04 7395 150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2 02 29999 04 7397 150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2 02 29999 04 7398 150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2 02 29999 04 7413 150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</w:t>
            </w:r>
            <w:r w:rsidR="00C62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диспетчерских служб муниципальных образований Красноярского края)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2 02 29999 04 7418 150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поддержку физкультурно-спортивных клубов по месту жительства)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2 02 29999 04 7427 150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2 02 29999 04 7448 150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2 02 29999 04 7454 150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2 02 29999 04 7456 150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молодежных центров)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2 02 29999 04 7461 150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2 02 29999 04 7463 150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2 02 29999 04 7475 150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обеспечение деятельности муниципальных архивов края)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2 02 29999 04 7482 150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2 02 29999 04 7488 150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комплектование книжных фондов библиотек)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2 02 29999 04 7497 150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мероприятия в области обеспечения капитального ремонта, реконструкции и строительства гидротехнических сооружений)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2 02 29999 04 7508 150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2 02 29999 04 7509 150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2 02 29999 04 7553 150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</w:t>
            </w:r>
            <w:r w:rsidR="00C62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базы муниципальных загородных оздоровительных лагерей)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2 02 29999 04 7555 150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организацию и проведение акарицидных обработок мест массового отдыха населения)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2 02 29999 04 7563 150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 надзорных органов)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2 02 29999 04 7571 150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7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2 02 29999 04 7575 150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6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</w:t>
            </w:r>
            <w:proofErr w:type="gramEnd"/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2 02 29999 04 7579 150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2 02 29999 04 7598 150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(бюджетам, требующих ускоренного экономического развития и повышения эффективности использования их экономического потенциала, на реализацию муниципальных программ развития субъектов малого и среднего предпринимательства)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2 02 29999 04 7607 150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C62C69" w:rsidP="00B47CB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(на реализацию муниципальных программ развития субъектов малого и </w:t>
            </w:r>
            <w:r w:rsidR="0038146A"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предпринимательства)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2 02 29999 04 7640 150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обеспечение деятельности муниципальных ресурсных центров поддержки общественных инициатив)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2 02 29999 04 7840 150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2 02 29999 04 7844 150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2 02 30024 04 0289 150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C62C69">
            <w:pPr>
              <w:spacing w:after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</w:t>
            </w:r>
            <w:r w:rsidR="00C62C6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граждан, а также в сфере патронажа)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2 02 30024 04 7408 150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6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</w:t>
            </w:r>
            <w:r w:rsidR="00C62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2 02 30024 04 7409 150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7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</w:t>
            </w:r>
            <w:r w:rsidR="00C62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хозяйственного, учебно-вспомогательного персонала и иных категорий работников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2 02 30024 04 7429 150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2 02 30024 04 7446 150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мониторинга состояния и развития лесной промышленности)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2 02 30024 04 7514 150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2 02 30024 04 7518 150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животных) 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2 02 30024 04 7519 150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2 02 30024 04 7552 150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несовершеннолетних)</w:t>
            </w:r>
          </w:p>
        </w:tc>
      </w:tr>
      <w:tr w:rsidR="008E0EE4" w:rsidRPr="00B47CB9" w:rsidTr="00B95416">
        <w:tblPrEx>
          <w:tblCellMar>
            <w:top w:w="23" w:type="dxa"/>
            <w:left w:w="27" w:type="dxa"/>
            <w:right w:w="15" w:type="dxa"/>
          </w:tblCellMar>
        </w:tblPrEx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10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2 02 30024 04 7554 150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right="7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 </w:t>
            </w:r>
            <w:proofErr w:type="gramEnd"/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1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2 02 30024 04 7564 150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2 02 30024 04 7566 150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 </w:t>
            </w:r>
            <w:proofErr w:type="gramEnd"/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2 02 30024 04 7570 150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 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2 02 30024 04 7587 150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 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2 02 30024 04 7588 150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2 02 30024 04 7604 150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прав) 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2 02 30024 04 7649 150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 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2 02 30024 04 7846 150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2 02 45424 04 0000 150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2 02 45454 04 0000 150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модельных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библиотек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2 02 49999 04 7745 150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1 13 02994 04 0020 130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ЕДДС)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C62C69" w:rsidRDefault="00C62C69" w:rsidP="00B47CB9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C6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2C69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C62C69" w:rsidRDefault="00C62C69" w:rsidP="00C62C69">
            <w:pPr>
              <w:spacing w:after="21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6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города Канска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1 13 02994 04 0010 130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(прочие доходы от компенсации затрат)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(возврат дебиторской задолженности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18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5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proofErr w:type="gramStart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C62C69">
            <w:pPr>
              <w:spacing w:line="294" w:lineRule="auto"/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</w:t>
            </w:r>
            <w:r w:rsidR="00C62C69">
              <w:rPr>
                <w:sz w:val="24"/>
                <w:szCs w:val="24"/>
              </w:rPr>
              <w:t xml:space="preserve">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1 08 07173 01 3000 110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EE4" w:rsidRPr="00B47CB9" w:rsidTr="00A775BD">
        <w:tblPrEx>
          <w:tblCellMar>
            <w:top w:w="26" w:type="dxa"/>
            <w:right w:w="21" w:type="dxa"/>
          </w:tblCellMar>
        </w:tblPrEx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1 11 09044 04 0011 120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найм)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1 11 09044 04 0012 120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соц. найм)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судов (за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E0EE4" w:rsidRPr="00B47CB9" w:rsidTr="00A775BD">
        <w:tblPrEx>
          <w:tblCellMar>
            <w:top w:w="26" w:type="dxa"/>
            <w:right w:w="21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4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культуры администрации г. Канска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градостроительства администрации города Канска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1 08 07150 01 3000 110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1 11 09080 04 0013 120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7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(продажа права на заключение договоров на установку и эксплуатацию рекламных конструкций)</w:t>
            </w:r>
          </w:p>
        </w:tc>
      </w:tr>
      <w:tr w:rsidR="008E0EE4" w:rsidRPr="00B47CB9" w:rsidTr="00B95416">
        <w:tblPrEx>
          <w:tblCellMar>
            <w:top w:w="26" w:type="dxa"/>
            <w:right w:w="15" w:type="dxa"/>
          </w:tblCellMar>
        </w:tblPrEx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9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1 11 09080 04 0016 120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6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(продажа права на заключение договоров на размещение нестационарных объектов)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1 11 09080 04 0017 120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 w:righ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(продажа права на заключение договоров на размещение временных сооружений)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2E4E33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2 03 04020 04 0000 150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Канский городской Совет депутатов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7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Контрольно-счетная комиссия города Канска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1 13 02994 04 0040 130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средств местного бюджета)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1 13 02994 04 0070 130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за счет краевых денежных средств)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1 13 02994 04 0080 130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(дебиторская задолженность прошлых лет по федеральным целевым средствам)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1 13 02994 04 0090 130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(возмещение страховых взносов на обязательное социальное страхование от несчастных случаев)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0EE4" w:rsidRPr="00B47CB9" w:rsidTr="00BD3288">
        <w:tblPrEx>
          <w:tblCellMar>
            <w:top w:w="14" w:type="dxa"/>
            <w:right w:w="21" w:type="dxa"/>
          </w:tblCellMar>
        </w:tblPrEx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D3288" w:rsidRDefault="00BD3288" w:rsidP="00B47CB9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288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BD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</w:t>
            </w:r>
            <w:proofErr w:type="gramEnd"/>
            <w:r w:rsidRPr="00BD3288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 w:rsidP="00B47CB9">
            <w:pPr>
              <w:ind w:left="1"/>
              <w:jc w:val="both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E0EE4" w:rsidRPr="00B47CB9" w:rsidTr="00B95416">
        <w:tblPrEx>
          <w:tblCellMar>
            <w:top w:w="14" w:type="dxa"/>
            <w:right w:w="21" w:type="dxa"/>
          </w:tblCellMar>
        </w:tblPrEx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937944">
            <w:pPr>
              <w:ind w:left="6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right="3"/>
              <w:jc w:val="center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50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4" w:rsidRPr="00B47CB9" w:rsidRDefault="0038146A">
            <w:pPr>
              <w:ind w:left="1"/>
              <w:rPr>
                <w:sz w:val="24"/>
                <w:szCs w:val="24"/>
              </w:rPr>
            </w:pPr>
            <w:r w:rsidRPr="00B47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A95405" w:rsidRDefault="00A95405"/>
    <w:p w:rsidR="00A95405" w:rsidRDefault="00A95405">
      <w:r>
        <w:br w:type="page"/>
      </w: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                                                             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Приложение 2 </w:t>
      </w: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администрации </w:t>
      </w: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города Канска</w:t>
      </w: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09.12.2021</w:t>
      </w:r>
      <w:r w:rsidRPr="00A95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1027</w:t>
      </w:r>
    </w:p>
    <w:p w:rsidR="00A95405" w:rsidRPr="00A95405" w:rsidRDefault="00A95405" w:rsidP="00A9540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A9540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Перечень главных </w:t>
      </w:r>
      <w:proofErr w:type="gramStart"/>
      <w:r w:rsidRPr="00A9540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администраторов источников финансирования дефицита бюджета города Канска</w:t>
      </w:r>
      <w:proofErr w:type="gramEnd"/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главного администратора источников финансирования дефицита бюджета,</w:t>
            </w:r>
            <w:r w:rsidRPr="00A95405">
              <w:rPr>
                <w:rFonts w:cs="Times New Roman"/>
                <w:color w:val="auto"/>
              </w:rPr>
              <w:t xml:space="preserve"> </w:t>
            </w: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главного администратора источников финансирования дефицита бюджета, группы, подгруппы, статьи и вида источника финансирования дефицита бюджета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Финансовое управление администрации города Канска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903 01 02 00 00 04 0000 710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903 01 02 00 00 04 0000 810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903 01 03 01 00 04 0000 710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903 01 03 01 00 04 0000 810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903 01 05 02 01 04 0000 510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95405" w:rsidRPr="00A95405" w:rsidTr="00A95405">
        <w:tc>
          <w:tcPr>
            <w:tcW w:w="308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903 01 05 02 01 04 0000 610</w:t>
            </w:r>
          </w:p>
        </w:tc>
        <w:tc>
          <w:tcPr>
            <w:tcW w:w="7655" w:type="dxa"/>
          </w:tcPr>
          <w:p w:rsidR="00A95405" w:rsidRPr="00A95405" w:rsidRDefault="00A95405" w:rsidP="00A954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95405" w:rsidRPr="00A95405" w:rsidRDefault="00A95405" w:rsidP="00A95405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95405" w:rsidRPr="00A95405" w:rsidRDefault="00A95405" w:rsidP="00A95405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38146A" w:rsidRDefault="0038146A"/>
    <w:sectPr w:rsidR="0038146A" w:rsidSect="00A95405">
      <w:pgSz w:w="11904" w:h="16836"/>
      <w:pgMar w:top="709" w:right="705" w:bottom="622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E4"/>
    <w:rsid w:val="000A7782"/>
    <w:rsid w:val="001A0A3B"/>
    <w:rsid w:val="00203148"/>
    <w:rsid w:val="00240E7D"/>
    <w:rsid w:val="002E4E33"/>
    <w:rsid w:val="0038146A"/>
    <w:rsid w:val="0050159F"/>
    <w:rsid w:val="005052F0"/>
    <w:rsid w:val="008E0EE4"/>
    <w:rsid w:val="00937944"/>
    <w:rsid w:val="00A775BD"/>
    <w:rsid w:val="00A95405"/>
    <w:rsid w:val="00B47CB9"/>
    <w:rsid w:val="00B95416"/>
    <w:rsid w:val="00BD3288"/>
    <w:rsid w:val="00C45150"/>
    <w:rsid w:val="00C62C69"/>
    <w:rsid w:val="00EF0FAF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E4E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05"/>
    <w:rPr>
      <w:rFonts w:ascii="Tahoma" w:eastAsia="Calibri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954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E4E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05"/>
    <w:rPr>
      <w:rFonts w:ascii="Tahoma" w:eastAsia="Calibri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A954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72812C133908B2665A32B57BF23435BC3C7383ED27E8B8F971EBA615DE36A9454679DAA3E338557C81EAB730CD7C4E93D19E259EC062BD2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F0AB988CD972D95F9DC847018BF818693357A1CEEF5AD7DD356AB676114FA12795D8B8D1727EE233CAB4F70AE57C4C6F799605F2286D9NCQ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17616</Words>
  <Characters>100417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116</cp:lastModifiedBy>
  <cp:revision>4</cp:revision>
  <dcterms:created xsi:type="dcterms:W3CDTF">2021-12-13T03:37:00Z</dcterms:created>
  <dcterms:modified xsi:type="dcterms:W3CDTF">2021-12-13T03:51:00Z</dcterms:modified>
</cp:coreProperties>
</file>